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DF" w:rsidRDefault="008307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6C50DF" w:rsidRDefault="006C50D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87F39" w:rsidRDefault="00887F3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C50DF" w:rsidRDefault="00830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6C50DF" w:rsidRDefault="00830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6C50DF" w:rsidRDefault="006C50D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887F39" w:rsidRDefault="00887F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6C50DF" w:rsidRDefault="0083074F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 Республики «Об утверждении критериев оценки степени риска при осуществлении предпринимательской деятельности» от 18 февраля 2012 года № 108</w:t>
      </w:r>
    </w:p>
    <w:p w:rsidR="006C50DF" w:rsidRDefault="006C50D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6C50DF" w:rsidRDefault="0083074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 целях реализации Закона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«О порядке проведения проверок субъектов предпринимательства», в соответствии со статьями 13 и 17 конституционного Закона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«О Кабинете Министров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Республики», Кабинет Министров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постановляет:</w:t>
      </w:r>
    </w:p>
    <w:p w:rsidR="006C50DF" w:rsidRDefault="006C50D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6C50DF" w:rsidRDefault="0083074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1. Внести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«Об утверждении критериев оценки степени риска при осуществлении предпринимательской деятельности» от 18 февраля 2012 года № 108 следующее дополнение:</w:t>
      </w:r>
    </w:p>
    <w:p w:rsidR="006C50DF" w:rsidRDefault="0083074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 критерии оценки степени риска при осуществлении предпринимательской деятельности, утвержденные вышеуказанным постановлением, дополнить главой 25 следующего содержания:</w:t>
      </w:r>
    </w:p>
    <w:p w:rsidR="006C50DF" w:rsidRDefault="006C50D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6C50DF" w:rsidRDefault="0083074F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«Глава 25. Критерии оценки степени риска предпринимательской деятельности, связанной со сбором, хранением, обработкой и передачей персональных данных</w:t>
      </w:r>
    </w:p>
    <w:p w:rsidR="006C50DF" w:rsidRDefault="006C50D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:rsidR="006C50DF" w:rsidRDefault="0083074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88. Критерии оценки степени риска предпринимательской деятельности, связанной со сбором, хранением, обработкой и передачей персональных данных непосредственно связаны с рейтингами угроз безопасности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данных.</w:t>
      </w:r>
    </w:p>
    <w:p w:rsidR="006C50DF" w:rsidRDefault="0083074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  <w:t xml:space="preserve">89. Субъект предпринимательства, исходя из конкретных условий работы с персональными данными, ценности защищаемой информации и стоимости мер по ее защите, а также с учетом уровня технического развития, утверждает собственный перечень угроз безопасности персональных данных по форме,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  <w:lastRenderedPageBreak/>
        <w:t>утвержденной уполномоченным государственным органом по персональным данным.</w:t>
      </w:r>
    </w:p>
    <w:p w:rsidR="006C50DF" w:rsidRDefault="0083074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90. Перечень угроз подлежит пересмотру субъектом предпринимательства по мере изменения состава обрабатываемых персональных данных, условий и видов их обработки.</w:t>
      </w:r>
    </w:p>
    <w:p w:rsidR="006C50DF" w:rsidRDefault="0083074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  <w:t>91. Критерии угроз безопасности, рейтинг угроз.</w:t>
      </w:r>
    </w:p>
    <w:p w:rsidR="006C50DF" w:rsidRDefault="0083074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Каждому виду угроз безопасности персональных данных, вошедших в перечень угроз, разработанный субъектом предпринимательства, присваивается рейтинг в зависимости от следующих критериев:</w:t>
      </w:r>
    </w:p>
    <w:tbl>
      <w:tblPr>
        <w:tblStyle w:val="a7"/>
        <w:tblW w:w="93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24"/>
        <w:gridCol w:w="2642"/>
        <w:gridCol w:w="1426"/>
        <w:gridCol w:w="4443"/>
      </w:tblGrid>
      <w:tr w:rsidR="006C50DF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br/>
              <w:t>п/п</w:t>
            </w:r>
          </w:p>
        </w:tc>
        <w:tc>
          <w:tcPr>
            <w:tcW w:w="26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Критерий</w:t>
            </w:r>
          </w:p>
        </w:tc>
        <w:tc>
          <w:tcPr>
            <w:tcW w:w="14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Диапазон баллов</w:t>
            </w:r>
          </w:p>
        </w:tc>
        <w:tc>
          <w:tcPr>
            <w:tcW w:w="44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Оценка (баллов)</w:t>
            </w:r>
          </w:p>
        </w:tc>
      </w:tr>
      <w:tr w:rsidR="006C50DF"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Актуальность угрозы безопасности персональных данных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0-10 балла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0 - неактуальна;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актуальна</w:t>
            </w:r>
          </w:p>
        </w:tc>
      </w:tr>
      <w:tr w:rsidR="006C50DF"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Возможное причинение вреда субъекту персональных данных, который может быть причинен в случае реализации угрозы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0-30 балла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0 - вред не может быть причинен (не влечет причинения убытков и морального вреда субъекту персональных данных);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незначительный вред, легко компенсируемый держателем (незначительные затраты - менее 1000 расчетных показателей, на ликвидацию/компенсацию последствий за причиненные убытки и моральный вред);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20 - значительный вред, который может быть компенсирован оператором (влечет значительные затраты – более 1000 расчетных показателей, на ликвидацию/компенсацию последствий за причиненные убытки и моральный вред);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30 - критический вред, не может быть компенсирован (влечет причинение убытков и морального вреда, которые не могут компенсированы)</w:t>
            </w:r>
          </w:p>
        </w:tc>
      </w:tr>
      <w:tr w:rsidR="006C50DF"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Объем обрабатываемых персональных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данных, которые подвержены данной угрозе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10-30 балла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10 - незначительный объем (информационная система обрабатывает персональные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данные в объеме, не превышающем 10000 субъектов персональных данных на момент проведения проверки);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20 - значительный объем (информационная система обрабатывает персональные данные в объеме, более 10000 до 100000 субъектов, персональных данных на момент проведения проверки);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30 - критический объем (информационная система обрабатывает персональные данные в объеме более 100000 субъектов персональных данных на момент проведения проверки)</w:t>
            </w:r>
          </w:p>
        </w:tc>
      </w:tr>
      <w:tr w:rsidR="006C50DF"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Содержание обрабатываемых персональных данных, которые подвержены данной угрозе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10-15 балла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персональные данные, не относящиеся к специальным категориям;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15 - специальные категории персональных данных (в соответствии с частью 1 статьи 8 Закона 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 “Об информации персонального характера»), а также биометрические данные (в соответствии с частью 3 статьи 5 Закона 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 “О биометрической регистрации граждан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Республики»)</w:t>
            </w:r>
          </w:p>
        </w:tc>
      </w:tr>
      <w:tr w:rsidR="006C50DF">
        <w:tc>
          <w:tcPr>
            <w:tcW w:w="8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Продолжительность деятельности по обработке персональных данных, к которой применима угроза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5-15 балла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5 - краткосрочная (обработка данных не более чем в течение 2 (двух) недель);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среднесрочное (обработка данных от 6 месяцев до 1 года)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15 - долгосрочная (использование и хранение персональных данных осуществляется более 1 года)</w:t>
            </w:r>
          </w:p>
        </w:tc>
      </w:tr>
      <w:tr w:rsidR="006C50DF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Наличие трансграничной передачи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персональных данных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0-15 балла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– трансграничная передача персональных данных отсутствует;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– персональные данные передаются в третьи страны на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основании международных договоров;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15 – персональные данные передаются в третьи страны на основании согласия владельца персональных данных;</w:t>
            </w:r>
          </w:p>
        </w:tc>
      </w:tr>
      <w:tr w:rsidR="006C50DF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7.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Наличие документации по обеспечению безопасности персональных данных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0-15 балла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0 - наличие документации по обеспечению безопасности персональных данных в соответствии с рейтингами угроз, определенных Требованиями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 от 21 ноября 2017 года № 760. 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При этом перечень и содержание документации соответствует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уровням защищенности.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10 - Наличие документации по обеспечению безопасности персональных данных в соответствии с рейтингами угроз, определенных Требованиями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 от 21 ноября 2017 года № 760. 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 xml:space="preserve">При этом перечень и содержание документации не соответствует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уровням защищенности.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15 - Отсутствие документации по обеспечению безопасности персональных данных в соответствии с рейтингами угроз, определенных Требованиями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Республики от 21 ноября 2017 года № 760. 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При этом документация отсутствует.</w:t>
            </w:r>
          </w:p>
        </w:tc>
      </w:tr>
      <w:tr w:rsidR="006C50DF">
        <w:tc>
          <w:tcPr>
            <w:tcW w:w="8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8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Наличие уполномоченного лица, ответственного за обеспечение безопасности персональных данных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0-10 балла</w:t>
            </w:r>
          </w:p>
        </w:tc>
        <w:tc>
          <w:tcPr>
            <w:tcW w:w="4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0 - уполномоченное лицо, ответственное за обеспечение безопасности персональных данных назначено;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уполномоченное лицо, ответственное за обеспечение безопасности персональных данных отсутствует;</w:t>
            </w:r>
          </w:p>
        </w:tc>
      </w:tr>
      <w:tr w:rsidR="006C50DF">
        <w:tc>
          <w:tcPr>
            <w:tcW w:w="8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9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Прохождение повышения квалификации лица, ответственного за обеспечение безопасности персональных данных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0-10 балла</w:t>
            </w:r>
          </w:p>
        </w:tc>
        <w:tc>
          <w:tcPr>
            <w:tcW w:w="4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0 - повышение квалификации пройдено не более 2 лет назад;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5 - повышение квалификации пройдено не более 3 лет назад;</w:t>
            </w:r>
          </w:p>
          <w:p w:rsidR="006C50DF" w:rsidRDefault="0083074F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10 - повышение квалификации пройдено более 3 лет назад;</w:t>
            </w:r>
          </w:p>
        </w:tc>
      </w:tr>
    </w:tbl>
    <w:p w:rsidR="006C50DF" w:rsidRDefault="008307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Критерии оценки степени риска предпринимательской деятельности, связанной со сбором, хранением, обработкой и передачей персональных данных определяется, как произведение баллов по каждому из критериев.</w:t>
      </w:r>
    </w:p>
    <w:p w:rsidR="006C50DF" w:rsidRDefault="008307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92. Своевременное обращение в уполномоченный орган в области защиты персональных данных субъекта предпринимательства по инцидентам, связанным со сбором, хранением, передачей и обработкой персональных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>данных, дает право уполномоченному органу при суммировании баллов в процессе определения рисков предпринимательской деятельности снизить итоговую оценку в диапазоне от 30-50 баллов при условии, что инцидент не повлек никаких последствий, в том числе вреда и ущерба, как для государства, так и для владельцев персональных данных.</w:t>
      </w:r>
    </w:p>
    <w:p w:rsidR="006C50DF" w:rsidRDefault="008307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93. Количество баллов, отражающих историю деятельности субъекта предпринимательства, зависит от количества случаев неисполнения субъектом предпринимательства требований законодательства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в сфере информации персонального характера, выявленных в ходе внеплановых проверок за определенный период:</w:t>
      </w:r>
    </w:p>
    <w:tbl>
      <w:tblPr>
        <w:tblStyle w:val="a8"/>
        <w:tblW w:w="93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941"/>
        <w:gridCol w:w="3394"/>
      </w:tblGrid>
      <w:tr w:rsidR="006C50DF">
        <w:tc>
          <w:tcPr>
            <w:tcW w:w="5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История субъекта</w:t>
            </w:r>
          </w:p>
        </w:tc>
        <w:tc>
          <w:tcPr>
            <w:tcW w:w="3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Баллы</w:t>
            </w:r>
          </w:p>
        </w:tc>
      </w:tr>
      <w:tr w:rsidR="006C50DF">
        <w:tc>
          <w:tcPr>
            <w:tcW w:w="5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Случаи не выявлены за последние 12 месяцев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15</w:t>
            </w:r>
          </w:p>
        </w:tc>
      </w:tr>
      <w:tr w:rsidR="006C50DF">
        <w:tc>
          <w:tcPr>
            <w:tcW w:w="5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Случаи не выявлены за последние 3 года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</w:t>
            </w:r>
          </w:p>
        </w:tc>
      </w:tr>
      <w:tr w:rsidR="006C50DF">
        <w:tc>
          <w:tcPr>
            <w:tcW w:w="5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Случаи не выявлены за последние 5 лет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</w:t>
            </w:r>
          </w:p>
        </w:tc>
      </w:tr>
      <w:tr w:rsidR="006C50DF">
        <w:tc>
          <w:tcPr>
            <w:tcW w:w="59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Случаи не выявлены за последние 7 лет</w:t>
            </w:r>
          </w:p>
        </w:tc>
        <w:tc>
          <w:tcPr>
            <w:tcW w:w="3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0 (баллы не начисляются)</w:t>
            </w:r>
          </w:p>
        </w:tc>
      </w:tr>
    </w:tbl>
    <w:p w:rsidR="006C50DF" w:rsidRDefault="008307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94. Количество баллов, оценивающих исполнение требований законодательства </w:t>
      </w:r>
      <w:proofErr w:type="spellStart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Республики в сфере информации персонального характера, определяемое в ходе плановой проверки с применением проверочного листа:</w:t>
      </w:r>
    </w:p>
    <w:tbl>
      <w:tblPr>
        <w:tblStyle w:val="a9"/>
        <w:tblW w:w="93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21"/>
        <w:gridCol w:w="4714"/>
      </w:tblGrid>
      <w:tr w:rsidR="006C50DF">
        <w:tc>
          <w:tcPr>
            <w:tcW w:w="4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Количество выявленных нарушений в % от общего количества требований в проверочном листе</w:t>
            </w:r>
          </w:p>
        </w:tc>
        <w:tc>
          <w:tcPr>
            <w:tcW w:w="4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Количество баллов по результатам проверки присваиваемых для начисления итоговых баллов</w:t>
            </w:r>
          </w:p>
        </w:tc>
      </w:tr>
      <w:tr w:rsidR="006C50DF">
        <w:tc>
          <w:tcPr>
            <w:tcW w:w="4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До 10%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</w:t>
            </w:r>
          </w:p>
        </w:tc>
      </w:tr>
      <w:tr w:rsidR="006C50DF">
        <w:tc>
          <w:tcPr>
            <w:tcW w:w="4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От 10% до 20%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16</w:t>
            </w:r>
          </w:p>
        </w:tc>
      </w:tr>
      <w:tr w:rsidR="006C50DF">
        <w:tc>
          <w:tcPr>
            <w:tcW w:w="4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От 20% до 30%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28</w:t>
            </w:r>
          </w:p>
        </w:tc>
      </w:tr>
      <w:tr w:rsidR="006C50DF">
        <w:tc>
          <w:tcPr>
            <w:tcW w:w="4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От 30% до 40%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40</w:t>
            </w:r>
          </w:p>
        </w:tc>
      </w:tr>
      <w:tr w:rsidR="006C50DF">
        <w:tc>
          <w:tcPr>
            <w:tcW w:w="46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От 40%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50</w:t>
            </w:r>
          </w:p>
        </w:tc>
      </w:tr>
    </w:tbl>
    <w:p w:rsidR="006C50DF" w:rsidRDefault="006C50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50DF" w:rsidRDefault="008307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95. Критерии угроз безопасности по уровням и наличие необходимой документации для каждого уровня определяется в соответствии с Требованиями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highlight w:val="white"/>
        </w:rPr>
        <w:t>от 21 ноября 2017 года № 760.</w:t>
      </w:r>
    </w:p>
    <w:p w:rsidR="006C50DF" w:rsidRDefault="008307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96. Критерии оценки степени риска предпринимательской деятельности, связанной со сбором, хранением, обработкой и передачей персональных данных без использования информационных систем осуществляется исходя из того, что такие субъекты предпринимательства делятся на следующие категории: </w:t>
      </w:r>
    </w:p>
    <w:tbl>
      <w:tblPr>
        <w:tblStyle w:val="aa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7"/>
        <w:gridCol w:w="4233"/>
        <w:gridCol w:w="2109"/>
        <w:gridCol w:w="2386"/>
      </w:tblGrid>
      <w:tr w:rsidR="006C50DF">
        <w:trPr>
          <w:trHeight w:val="1054"/>
        </w:trPr>
        <w:tc>
          <w:tcPr>
            <w:tcW w:w="6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br/>
              <w:t>п/п</w:t>
            </w:r>
          </w:p>
        </w:tc>
        <w:tc>
          <w:tcPr>
            <w:tcW w:w="4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Объем обрабатываемых персональных данных</w:t>
            </w:r>
          </w:p>
        </w:tc>
        <w:tc>
          <w:tcPr>
            <w:tcW w:w="2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Степень риска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  <w:t>Оценка (баллов)</w:t>
            </w:r>
          </w:p>
        </w:tc>
      </w:tr>
      <w:tr w:rsidR="006C50DF">
        <w:tc>
          <w:tcPr>
            <w:tcW w:w="6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</w:t>
            </w:r>
          </w:p>
        </w:tc>
        <w:tc>
          <w:tcPr>
            <w:tcW w:w="4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Субъект предпринимательства обрабатывает персональные данные в объеме, не превышающем 10000 субъектов персональных данных на момент проведения проверки)</w:t>
            </w:r>
          </w:p>
        </w:tc>
        <w:tc>
          <w:tcPr>
            <w:tcW w:w="2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незначительная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40 баллов</w:t>
            </w:r>
          </w:p>
        </w:tc>
      </w:tr>
      <w:tr w:rsidR="006C50DF">
        <w:tc>
          <w:tcPr>
            <w:tcW w:w="6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</w:t>
            </w:r>
          </w:p>
        </w:tc>
        <w:tc>
          <w:tcPr>
            <w:tcW w:w="4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Субъект предпринимательства обрабатывает персональные данные в объеме, более 10000 до 100000 субъектов персональных данных на момент проведения проверки)</w:t>
            </w:r>
          </w:p>
        </w:tc>
        <w:tc>
          <w:tcPr>
            <w:tcW w:w="2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средняя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60 баллов</w:t>
            </w:r>
          </w:p>
        </w:tc>
      </w:tr>
      <w:tr w:rsidR="006C50DF">
        <w:tc>
          <w:tcPr>
            <w:tcW w:w="6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</w:t>
            </w:r>
          </w:p>
        </w:tc>
        <w:tc>
          <w:tcPr>
            <w:tcW w:w="42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Субъект предпринимательства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обрабатывает персональные данные в объеме более 100000 субъектов персональных данных на момент проведения проверки)</w:t>
            </w:r>
          </w:p>
        </w:tc>
        <w:tc>
          <w:tcPr>
            <w:tcW w:w="2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white"/>
              </w:rPr>
              <w:t>высокая</w:t>
            </w:r>
          </w:p>
        </w:tc>
        <w:tc>
          <w:tcPr>
            <w:tcW w:w="2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DF" w:rsidRDefault="00830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80 баллов</w:t>
            </w:r>
          </w:p>
        </w:tc>
      </w:tr>
    </w:tbl>
    <w:p w:rsidR="006C50DF" w:rsidRDefault="00830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C50DF" w:rsidRDefault="008307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6C50DF" w:rsidRDefault="006C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50DF" w:rsidRDefault="006C50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b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6C50DF">
        <w:tc>
          <w:tcPr>
            <w:tcW w:w="4672" w:type="dxa"/>
          </w:tcPr>
          <w:p w:rsidR="006C50DF" w:rsidRDefault="0083074F" w:rsidP="00887F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Председатель</w:t>
            </w:r>
          </w:p>
          <w:p w:rsidR="006C50DF" w:rsidRDefault="0083074F" w:rsidP="00887F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Кабинета Министров</w:t>
            </w:r>
          </w:p>
          <w:p w:rsidR="006C50DF" w:rsidRDefault="0083074F" w:rsidP="00887F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</w:p>
        </w:tc>
        <w:tc>
          <w:tcPr>
            <w:tcW w:w="4673" w:type="dxa"/>
          </w:tcPr>
          <w:p w:rsidR="006C50DF" w:rsidRDefault="006C50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50DF" w:rsidRDefault="006C50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50DF" w:rsidRDefault="0083074F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А.У.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Жапаров</w:t>
            </w:r>
            <w:proofErr w:type="spellEnd"/>
          </w:p>
        </w:tc>
      </w:tr>
    </w:tbl>
    <w:p w:rsidR="006C50DF" w:rsidRDefault="006C50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C50DF">
      <w:footerReference w:type="default" r:id="rId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CD4" w:rsidRDefault="004D6CD4" w:rsidP="00887F39">
      <w:pPr>
        <w:spacing w:after="0" w:line="240" w:lineRule="auto"/>
      </w:pPr>
      <w:r>
        <w:separator/>
      </w:r>
    </w:p>
  </w:endnote>
  <w:endnote w:type="continuationSeparator" w:id="0">
    <w:p w:rsidR="004D6CD4" w:rsidRDefault="004D6CD4" w:rsidP="0088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F39" w:rsidRPr="009901D9" w:rsidRDefault="00887F39" w:rsidP="00887F39">
    <w:pPr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>Директор Государственного агентства</w:t>
    </w:r>
  </w:p>
  <w:p w:rsidR="00887F39" w:rsidRPr="009901D9" w:rsidRDefault="00887F39" w:rsidP="00887F39">
    <w:pPr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>по защите персональных данных</w:t>
    </w:r>
  </w:p>
  <w:p w:rsidR="00887F39" w:rsidRPr="009901D9" w:rsidRDefault="00887F39" w:rsidP="00887F39">
    <w:pPr>
      <w:spacing w:after="0" w:line="240" w:lineRule="auto"/>
      <w:jc w:val="both"/>
      <w:rPr>
        <w:rFonts w:ascii="Times New Roman" w:eastAsia="Times New Roman" w:hAnsi="Times New Roman" w:cs="Times New Roman"/>
        <w:sz w:val="20"/>
        <w:szCs w:val="20"/>
      </w:rPr>
    </w:pPr>
    <w:r w:rsidRPr="009901D9">
      <w:rPr>
        <w:rFonts w:ascii="Times New Roman" w:eastAsia="Times New Roman" w:hAnsi="Times New Roman" w:cs="Times New Roman"/>
        <w:sz w:val="20"/>
        <w:szCs w:val="20"/>
      </w:rPr>
      <w:t xml:space="preserve">при Кабинете Министров </w:t>
    </w:r>
  </w:p>
  <w:p w:rsidR="00887F39" w:rsidRPr="00097834" w:rsidRDefault="00887F39" w:rsidP="00887F39">
    <w:pPr>
      <w:spacing w:after="0" w:line="240" w:lineRule="auto"/>
      <w:jc w:val="both"/>
      <w:rPr>
        <w:lang w:val="ky-KG"/>
      </w:rPr>
    </w:pPr>
    <w:proofErr w:type="spellStart"/>
    <w:r w:rsidRPr="009901D9">
      <w:rPr>
        <w:rFonts w:ascii="Times New Roman" w:eastAsia="Times New Roman" w:hAnsi="Times New Roman" w:cs="Times New Roman"/>
        <w:sz w:val="20"/>
        <w:szCs w:val="20"/>
      </w:rPr>
      <w:t>Кыргызской</w:t>
    </w:r>
    <w:proofErr w:type="spellEnd"/>
    <w:r w:rsidRPr="009901D9">
      <w:rPr>
        <w:rFonts w:ascii="Times New Roman" w:eastAsia="Times New Roman" w:hAnsi="Times New Roman" w:cs="Times New Roman"/>
        <w:sz w:val="20"/>
        <w:szCs w:val="20"/>
      </w:rPr>
      <w:t xml:space="preserve"> Республики</w:t>
    </w:r>
    <w:r>
      <w:rPr>
        <w:rFonts w:ascii="Times New Roman" w:eastAsia="Times New Roman" w:hAnsi="Times New Roman" w:cs="Times New Roman"/>
        <w:sz w:val="20"/>
        <w:szCs w:val="20"/>
        <w:lang w:val="ky-KG"/>
      </w:rPr>
      <w:t>_______________________</w:t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</w:r>
    <w:r>
      <w:rPr>
        <w:rFonts w:ascii="Times New Roman" w:eastAsia="Times New Roman" w:hAnsi="Times New Roman" w:cs="Times New Roman"/>
        <w:sz w:val="20"/>
        <w:szCs w:val="20"/>
        <w:lang w:val="ky-KG"/>
      </w:rPr>
      <w:softHyphen/>
      <w:t>______</w:t>
    </w:r>
    <w:r w:rsidRPr="009901D9">
      <w:rPr>
        <w:rFonts w:ascii="Times New Roman" w:eastAsia="Times New Roman" w:hAnsi="Times New Roman" w:cs="Times New Roman"/>
        <w:sz w:val="20"/>
        <w:szCs w:val="20"/>
      </w:rPr>
      <w:t xml:space="preserve"> Н.А. </w:t>
    </w:r>
    <w:proofErr w:type="spellStart"/>
    <w:r w:rsidRPr="009901D9">
      <w:rPr>
        <w:rFonts w:ascii="Times New Roman" w:eastAsia="Times New Roman" w:hAnsi="Times New Roman" w:cs="Times New Roman"/>
        <w:sz w:val="20"/>
        <w:szCs w:val="20"/>
      </w:rPr>
      <w:t>Кутнаева</w:t>
    </w:r>
    <w:proofErr w:type="spellEnd"/>
    <w:r w:rsidRPr="009901D9">
      <w:rPr>
        <w:rFonts w:ascii="Times New Roman" w:eastAsia="Times New Roman" w:hAnsi="Times New Roman" w:cs="Times New Roman"/>
        <w:sz w:val="20"/>
        <w:szCs w:val="20"/>
        <w:lang w:val="ky-KG"/>
      </w:rPr>
      <w:t xml:space="preserve"> </w:t>
    </w:r>
    <w:r w:rsidRPr="009901D9">
      <w:rPr>
        <w:rFonts w:ascii="Times New Roman" w:eastAsia="Times New Roman" w:hAnsi="Times New Roman" w:cs="Times New Roman"/>
        <w:color w:val="000000"/>
        <w:sz w:val="20"/>
        <w:szCs w:val="20"/>
      </w:rPr>
      <w:t>«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/>
      </w:rPr>
      <w:t>___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>»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/>
      </w:rPr>
      <w:t xml:space="preserve"> __________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CD4" w:rsidRDefault="004D6CD4" w:rsidP="00887F39">
      <w:pPr>
        <w:spacing w:after="0" w:line="240" w:lineRule="auto"/>
      </w:pPr>
      <w:r>
        <w:separator/>
      </w:r>
    </w:p>
  </w:footnote>
  <w:footnote w:type="continuationSeparator" w:id="0">
    <w:p w:rsidR="004D6CD4" w:rsidRDefault="004D6CD4" w:rsidP="00887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0DF"/>
    <w:rsid w:val="004D6CD4"/>
    <w:rsid w:val="006C50DF"/>
    <w:rsid w:val="0083074F"/>
    <w:rsid w:val="0088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6391"/>
  <w15:docId w15:val="{8DD6ABEF-7B11-4EA6-AEB6-30C1D097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59C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C72BF5"/>
    <w:pPr>
      <w:ind w:left="720"/>
      <w:contextualSpacing/>
    </w:pPr>
  </w:style>
  <w:style w:type="table" w:styleId="a5">
    <w:name w:val="Table Grid"/>
    <w:basedOn w:val="a1"/>
    <w:uiPriority w:val="39"/>
    <w:rsid w:val="0057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8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7F39"/>
  </w:style>
  <w:style w:type="paragraph" w:styleId="ae">
    <w:name w:val="footer"/>
    <w:basedOn w:val="a"/>
    <w:link w:val="af"/>
    <w:uiPriority w:val="99"/>
    <w:unhideWhenUsed/>
    <w:rsid w:val="00887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7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1lrzz0V87Lb3t6c4DfGksJJeaA==">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Клии Омельченко</dc:creator>
  <cp:lastModifiedBy>Admin</cp:lastModifiedBy>
  <cp:revision>3</cp:revision>
  <dcterms:created xsi:type="dcterms:W3CDTF">2022-06-22T05:03:00Z</dcterms:created>
  <dcterms:modified xsi:type="dcterms:W3CDTF">2022-06-22T08:52:00Z</dcterms:modified>
</cp:coreProperties>
</file>